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Boden kommunfullmäktige</w:t>
      </w:r>
    </w:p>
    <w:p>
      <w:pPr>
        <w:pStyle w:val="Heading1"/>
      </w:pPr>
      <w:r>
        <w:t xml:space="preserve">Införa obligatorisk SFI med arbetslivsinriktning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Boden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Bodens integrationsrapport 2024 har 42 % av nyanlända otillräckliga svenskkunskaper efter två år. Arbetslösheten bland utrikes födda är dubbelt så hög som bland inrikes födda.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Boden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15 timmar per vecka kombinerat med praktik.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yrkessvenska inom vård, industri och besöksnäring.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andel som går vidare till arbete eller studier inom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resurser för språkstöd i förskola och skola.</w:t>
      </w:r>
    </w:p>
    <w:p>
      <w:pPr>
        <w:spacing w:before="360"/>
      </w:pPr>
    </w:p>
    <w:p>
      <w:r>
        <w:t xml:space="preserve">Boden,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Boden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2026-07-14T02:26:54.380Z</dcterms:created>
  <dcterms:modified xsi:type="dcterms:W3CDTF">2026-07-14T02:26:54.380Z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